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4C" w:rsidRDefault="00F0424C">
      <w:pPr>
        <w:rPr>
          <w:rFonts w:ascii="Times New Roman" w:hAnsi="Times New Roman"/>
          <w:sz w:val="24"/>
          <w:szCs w:val="24"/>
        </w:rPr>
      </w:pPr>
      <w:r w:rsidRPr="000A338C">
        <w:rPr>
          <w:rFonts w:ascii="Times New Roman" w:hAnsi="Times New Roman"/>
          <w:sz w:val="24"/>
          <w:szCs w:val="24"/>
        </w:rPr>
        <w:t>Sprawozdanie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424C" w:rsidRPr="002711ED" w:rsidRDefault="00F0424C">
      <w:pPr>
        <w:rPr>
          <w:rFonts w:ascii="Times New Roman" w:hAnsi="Times New Roman"/>
          <w:sz w:val="24"/>
          <w:szCs w:val="24"/>
          <w:u w:val="single"/>
        </w:rPr>
      </w:pPr>
      <w:r w:rsidRPr="002711ED">
        <w:rPr>
          <w:rFonts w:ascii="Times New Roman" w:hAnsi="Times New Roman"/>
          <w:sz w:val="24"/>
          <w:szCs w:val="24"/>
          <w:u w:val="single"/>
        </w:rPr>
        <w:t>W dziedzinie spraw finansowych.</w:t>
      </w:r>
    </w:p>
    <w:p w:rsidR="00F0424C" w:rsidRDefault="00F0424C" w:rsidP="00DE33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spraw finansowych obejmowała  problematykę skuteczności powierzenia uprawnień i obowiązków w zakresie gospodarki finansowej,  przestrzegania procedur kontroli operacji finansowych i gospodarczych oraz dokumentowania i realizacji wydatków i dochodów budżetowych zgodnie </w:t>
      </w:r>
      <w:r w:rsidRPr="00602AC8">
        <w:rPr>
          <w:rFonts w:ascii="Times New Roman" w:hAnsi="Times New Roman"/>
          <w:sz w:val="24"/>
          <w:szCs w:val="24"/>
        </w:rPr>
        <w:t>z ustawą z dnia 27 sierpnia 2009 r</w:t>
      </w:r>
      <w:r w:rsidRPr="00701A38">
        <w:rPr>
          <w:rFonts w:ascii="Times New Roman" w:hAnsi="Times New Roman"/>
          <w:i/>
          <w:sz w:val="24"/>
          <w:szCs w:val="24"/>
        </w:rPr>
        <w:t>. o finansach publicznych</w:t>
      </w:r>
      <w:r w:rsidRPr="00037FCF">
        <w:t xml:space="preserve"> </w:t>
      </w:r>
      <w:r w:rsidRPr="00701A38">
        <w:rPr>
          <w:rFonts w:ascii="Times New Roman" w:hAnsi="Times New Roman"/>
          <w:sz w:val="24"/>
          <w:szCs w:val="24"/>
        </w:rPr>
        <w:t>( Dz. U. z 2009 r. nr 157, poz.1240 ze zm.)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343">
        <w:rPr>
          <w:rFonts w:ascii="Times New Roman" w:hAnsi="Times New Roman"/>
          <w:sz w:val="24"/>
          <w:szCs w:val="24"/>
        </w:rPr>
        <w:t xml:space="preserve">i </w:t>
      </w:r>
      <w:r w:rsidRPr="00602AC8">
        <w:rPr>
          <w:rFonts w:ascii="Times New Roman" w:hAnsi="Times New Roman"/>
          <w:sz w:val="24"/>
          <w:szCs w:val="24"/>
        </w:rPr>
        <w:t>ustawą z dnia 29 września</w:t>
      </w:r>
      <w:r>
        <w:rPr>
          <w:rFonts w:ascii="Times New Roman" w:hAnsi="Times New Roman"/>
          <w:sz w:val="24"/>
          <w:szCs w:val="24"/>
        </w:rPr>
        <w:t xml:space="preserve"> z 1994 r.</w:t>
      </w:r>
      <w:r w:rsidRPr="007D4343">
        <w:rPr>
          <w:rFonts w:ascii="Times New Roman" w:hAnsi="Times New Roman"/>
          <w:i/>
          <w:sz w:val="24"/>
          <w:szCs w:val="24"/>
        </w:rPr>
        <w:t xml:space="preserve"> o rachunkowości </w:t>
      </w:r>
      <w:r w:rsidRPr="007D4343">
        <w:rPr>
          <w:rFonts w:ascii="Times New Roman" w:hAnsi="Times New Roman"/>
          <w:sz w:val="24"/>
          <w:szCs w:val="24"/>
        </w:rPr>
        <w:t xml:space="preserve">(tekst jednolity </w:t>
      </w:r>
      <w:r w:rsidRPr="007D4343">
        <w:rPr>
          <w:rFonts w:ascii="Times New Roman" w:hAnsi="Times New Roman"/>
          <w:bCs/>
          <w:sz w:val="24"/>
          <w:szCs w:val="24"/>
        </w:rPr>
        <w:t>Dz. U. z 2009 r. Nr 152, poz. 1223 ze zm.)</w:t>
      </w:r>
      <w:r>
        <w:rPr>
          <w:rFonts w:ascii="Times New Roman" w:hAnsi="Times New Roman"/>
          <w:bCs/>
          <w:sz w:val="24"/>
          <w:szCs w:val="24"/>
        </w:rPr>
        <w:t>.</w:t>
      </w:r>
      <w:r w:rsidRPr="007D4343">
        <w:rPr>
          <w:rFonts w:ascii="Times New Roman" w:hAnsi="Times New Roman"/>
          <w:sz w:val="24"/>
          <w:szCs w:val="24"/>
        </w:rPr>
        <w:t xml:space="preserve"> </w:t>
      </w:r>
    </w:p>
    <w:p w:rsidR="00F0424C" w:rsidRDefault="00F0424C" w:rsidP="00DE33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wykazała brak powierzenia obowiązków głównego księgowego zgodnie z art. 54 ust. 1 ustawy </w:t>
      </w:r>
      <w:r w:rsidRPr="00DD6E69">
        <w:rPr>
          <w:rFonts w:ascii="Times New Roman" w:hAnsi="Times New Roman"/>
          <w:i/>
          <w:sz w:val="24"/>
          <w:szCs w:val="24"/>
        </w:rPr>
        <w:t>o finansach publicznych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Zakres obowiązków pracownika pełniącego funkcję głównego księgowego nie zawiera zapisów dotyczących prowadzenia rachunkowości placówki oraz odpowiedzialności w tym zakresie oraz w zakresie gospodarki i kontroli finansowej. </w:t>
      </w:r>
    </w:p>
    <w:p w:rsidR="00F0424C" w:rsidRDefault="00F0424C" w:rsidP="00DE33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nieskuteczne Zespół kontrolny uznał powierzenie uprawnień w zakresie kontroli merytorycznej dokumentów księgowych. Sprawdzenia dowodów księgowych pod względem celowości, gospodarności i zgodności operacji gospodarczych z obowiązującymi przepisami </w:t>
      </w:r>
      <w:r w:rsidRPr="0085552E">
        <w:rPr>
          <w:rFonts w:ascii="Times New Roman" w:hAnsi="Times New Roman"/>
          <w:color w:val="00B050"/>
          <w:sz w:val="24"/>
          <w:szCs w:val="24"/>
        </w:rPr>
        <w:t>dokonywały</w:t>
      </w:r>
      <w:r>
        <w:rPr>
          <w:rFonts w:ascii="Times New Roman" w:hAnsi="Times New Roman"/>
          <w:sz w:val="24"/>
          <w:szCs w:val="24"/>
        </w:rPr>
        <w:t xml:space="preserve"> osoby, którym kierownik placówki nie udzielił imiennych upoważnień. </w:t>
      </w:r>
    </w:p>
    <w:p w:rsidR="00F0424C" w:rsidRDefault="00F0424C" w:rsidP="00DE3338">
      <w:pPr>
        <w:jc w:val="both"/>
      </w:pPr>
      <w:r>
        <w:rPr>
          <w:rFonts w:ascii="Times New Roman" w:hAnsi="Times New Roman"/>
          <w:sz w:val="24"/>
          <w:szCs w:val="24"/>
        </w:rPr>
        <w:t>Nie zostały w sposób wyczerpujący i zgodny z obowiązującymi przepisami określone procedury</w:t>
      </w:r>
      <w:r w:rsidRPr="00627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kontroli oraz obiegu dokumentów i dowodów księgowych.  </w:t>
      </w:r>
      <w:r w:rsidRPr="00AA0790">
        <w:rPr>
          <w:rFonts w:ascii="Times New Roman" w:hAnsi="Times New Roman"/>
          <w:i/>
          <w:sz w:val="24"/>
          <w:szCs w:val="24"/>
        </w:rPr>
        <w:t>Instrukcj</w:t>
      </w:r>
      <w:r>
        <w:rPr>
          <w:rFonts w:ascii="Times New Roman" w:hAnsi="Times New Roman"/>
          <w:i/>
          <w:sz w:val="24"/>
          <w:szCs w:val="24"/>
        </w:rPr>
        <w:t>a</w:t>
      </w:r>
      <w:r w:rsidRPr="00AA0790">
        <w:rPr>
          <w:rFonts w:ascii="Times New Roman" w:hAnsi="Times New Roman"/>
          <w:i/>
          <w:sz w:val="24"/>
          <w:szCs w:val="24"/>
        </w:rPr>
        <w:t xml:space="preserve"> w sprawie obiegu i kontroli dokumentów finansowych</w:t>
      </w:r>
      <w:r>
        <w:rPr>
          <w:rFonts w:ascii="Times New Roman" w:hAnsi="Times New Roman"/>
          <w:sz w:val="24"/>
          <w:szCs w:val="24"/>
        </w:rPr>
        <w:t xml:space="preserve"> nie reguluje obiegu ważnych dla gospodarki finansowej dokumentów księgowych typu umowy, protokóły odbioru, czy zamówienia. D</w:t>
      </w:r>
      <w:r w:rsidRPr="007D4592">
        <w:rPr>
          <w:rFonts w:ascii="Times New Roman" w:hAnsi="Times New Roman"/>
          <w:sz w:val="24"/>
          <w:szCs w:val="24"/>
        </w:rPr>
        <w:t>okumentacja</w:t>
      </w:r>
      <w:r>
        <w:rPr>
          <w:rFonts w:ascii="Times New Roman" w:hAnsi="Times New Roman"/>
          <w:sz w:val="24"/>
          <w:szCs w:val="24"/>
        </w:rPr>
        <w:t xml:space="preserve"> dotycząca</w:t>
      </w:r>
      <w:r w:rsidRPr="00AA0790">
        <w:rPr>
          <w:rFonts w:ascii="Times New Roman" w:hAnsi="Times New Roman"/>
          <w:i/>
          <w:sz w:val="24"/>
          <w:szCs w:val="24"/>
        </w:rPr>
        <w:t xml:space="preserve"> zasad (polityk</w:t>
      </w:r>
      <w:r>
        <w:rPr>
          <w:rFonts w:ascii="Times New Roman" w:hAnsi="Times New Roman"/>
          <w:i/>
          <w:sz w:val="24"/>
          <w:szCs w:val="24"/>
        </w:rPr>
        <w:t>i</w:t>
      </w:r>
      <w:r w:rsidRPr="00AA0790">
        <w:rPr>
          <w:rFonts w:ascii="Times New Roman" w:hAnsi="Times New Roman"/>
          <w:i/>
          <w:sz w:val="24"/>
          <w:szCs w:val="24"/>
        </w:rPr>
        <w:t>) rachunkowości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592">
        <w:rPr>
          <w:rFonts w:ascii="Times New Roman" w:hAnsi="Times New Roman"/>
          <w:i/>
          <w:sz w:val="24"/>
          <w:szCs w:val="24"/>
        </w:rPr>
        <w:t>Ambasady RP w Moskwie</w:t>
      </w:r>
      <w:r>
        <w:rPr>
          <w:rFonts w:ascii="Times New Roman" w:hAnsi="Times New Roman"/>
          <w:sz w:val="24"/>
          <w:szCs w:val="24"/>
        </w:rPr>
        <w:t xml:space="preserve"> nie wyczerpuje postanowień art. 10 ust. 1 ustawy </w:t>
      </w:r>
      <w:r w:rsidRPr="003B1512">
        <w:rPr>
          <w:rFonts w:ascii="Times New Roman" w:hAnsi="Times New Roman"/>
          <w:i/>
          <w:sz w:val="24"/>
          <w:szCs w:val="24"/>
        </w:rPr>
        <w:t>o rachunkowości</w:t>
      </w:r>
      <w:r>
        <w:rPr>
          <w:rFonts w:ascii="Times New Roman" w:hAnsi="Times New Roman"/>
          <w:i/>
          <w:sz w:val="24"/>
          <w:szCs w:val="24"/>
        </w:rPr>
        <w:t>.</w:t>
      </w:r>
      <w:r w:rsidRPr="005D3961">
        <w:rPr>
          <w:i/>
        </w:rPr>
        <w:t xml:space="preserve"> </w:t>
      </w:r>
      <w:r w:rsidRPr="005D3961">
        <w:t xml:space="preserve"> </w:t>
      </w:r>
    </w:p>
    <w:p w:rsidR="00F0424C" w:rsidRDefault="00F0424C" w:rsidP="00DE33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Placówka nie przestrzega zasady zamieszczania na dowodach księgowych pełnej dekretacji (sposobu ujęcia dowodu w księgach rachunkowych) poprzez wskazanie korespondencji kont. </w:t>
      </w:r>
      <w:r w:rsidRPr="003E308C">
        <w:rPr>
          <w:rFonts w:ascii="Times New Roman" w:hAnsi="Times New Roman"/>
          <w:color w:val="00B050"/>
          <w:sz w:val="24"/>
          <w:szCs w:val="24"/>
        </w:rPr>
        <w:t>Tym samym</w:t>
      </w:r>
      <w:r>
        <w:rPr>
          <w:rFonts w:ascii="Times New Roman" w:hAnsi="Times New Roman"/>
          <w:sz w:val="24"/>
          <w:szCs w:val="24"/>
        </w:rPr>
        <w:t xml:space="preserve">  nie zostało zrealizowane zalecenie pokontrolne NIK z 26 stycznia 2009 r. </w:t>
      </w:r>
    </w:p>
    <w:p w:rsidR="00F0424C" w:rsidRDefault="00F0424C" w:rsidP="00DE33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dochodów budżetowych (dotyczy roku ubiegłego) i dochodów własnych z tytułu najmu i dzierżawy składników majątkowych, Zespół kontrolny stwierdził różnice w ewidencji wynikającej z ksiąg rachunkowych i zapisów ksiąg meldunkowych. Na placówce nie były wdrożone żadne mechanizmy kontroli dotyczące prowadzenia i rozliczania dochodów z tytułu najmu pokoi gościnnych. </w:t>
      </w:r>
    </w:p>
    <w:p w:rsidR="00F0424C" w:rsidRDefault="00F0424C" w:rsidP="00DE33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stwierdzono nieprawidłowości w klasyfikacji wydatków budżetowych. W skontrolowanym zakresie wydatki były realizowane zgodnie z planem wydatków.</w:t>
      </w:r>
    </w:p>
    <w:p w:rsidR="00F0424C" w:rsidRDefault="00F0424C">
      <w:pPr>
        <w:rPr>
          <w:rFonts w:ascii="Times New Roman" w:hAnsi="Times New Roman"/>
          <w:sz w:val="24"/>
          <w:szCs w:val="24"/>
          <w:u w:val="single"/>
        </w:rPr>
      </w:pPr>
      <w:r w:rsidRPr="00040BCA">
        <w:rPr>
          <w:rFonts w:ascii="Times New Roman" w:hAnsi="Times New Roman"/>
          <w:sz w:val="24"/>
          <w:szCs w:val="24"/>
          <w:u w:val="single"/>
        </w:rPr>
        <w:t>W dziedzinie spraw administracyjnych</w:t>
      </w:r>
    </w:p>
    <w:p w:rsidR="00F0424C" w:rsidRDefault="00F0424C" w:rsidP="00BF4733">
      <w:pPr>
        <w:jc w:val="both"/>
        <w:rPr>
          <w:rFonts w:ascii="Times New Roman" w:hAnsi="Times New Roman"/>
          <w:sz w:val="24"/>
          <w:szCs w:val="24"/>
        </w:rPr>
      </w:pPr>
      <w:r w:rsidRPr="00CB4D79">
        <w:rPr>
          <w:rFonts w:ascii="Times New Roman" w:hAnsi="Times New Roman"/>
          <w:sz w:val="24"/>
          <w:szCs w:val="24"/>
        </w:rPr>
        <w:t xml:space="preserve">Kontrola spraw </w:t>
      </w:r>
      <w:r>
        <w:rPr>
          <w:rFonts w:ascii="Times New Roman" w:hAnsi="Times New Roman"/>
          <w:sz w:val="24"/>
          <w:szCs w:val="24"/>
        </w:rPr>
        <w:t xml:space="preserve">administracyjnych obejmowała zagadnienia związane z przestrzeganiem wytycznych p. poż., prawidłowości realizowanych przez placówkę postępowań o udzielenie zamówienia publicznego, rozpatrywania wniosków w sprawach skarg i wniosków oraz spraw organizacyjnych. </w:t>
      </w:r>
    </w:p>
    <w:p w:rsidR="00F0424C" w:rsidRDefault="00F0424C" w:rsidP="000A58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przestrzegania przepisów ochrony przeciwpożarowej  zespół kontrolny odnotował brak przeszkolenia w tym zakresie pracowników miejscowych. Miejsca usytuowania sprzętu gaśniczego są prawidłowo oznakowane a sprzęt posiada aktualne certyfikaty dopuszczenia do użytkowania. System centrali pożarowej działa tylko w części obiektu zajmowanej przez Wydział Konsularny, w pozostałych częściach obiektu nie funkcjonuje z uwagi na jego techniczne zużycie.</w:t>
      </w:r>
    </w:p>
    <w:p w:rsidR="00F0424C" w:rsidRDefault="00F0424C" w:rsidP="000A58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realizacji postępowań o zamówienie publicznej zespól kontrolny odnotował prowadzenie postępowań z naruszeniem ustawy prawo zamówień publicznych oraz naruszeniem dyscypliny finansów publicznych we wszystkich skontrolowanych przypadkach.</w:t>
      </w:r>
    </w:p>
    <w:p w:rsidR="00F0424C" w:rsidRDefault="00F0424C" w:rsidP="000A58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</w:t>
      </w:r>
      <w:r w:rsidRPr="00BF4733">
        <w:rPr>
          <w:rFonts w:ascii="Times New Roman" w:hAnsi="Times New Roman"/>
          <w:color w:val="FF6600"/>
          <w:sz w:val="24"/>
          <w:szCs w:val="24"/>
        </w:rPr>
        <w:t>rozpatrywania</w:t>
      </w:r>
      <w:r>
        <w:rPr>
          <w:rFonts w:ascii="Times New Roman" w:hAnsi="Times New Roman"/>
          <w:sz w:val="24"/>
          <w:szCs w:val="24"/>
        </w:rPr>
        <w:t xml:space="preserve"> skarg i wniosków zespól kontrolny odnotował brak informacji dot </w:t>
      </w:r>
      <w:r>
        <w:rPr>
          <w:rFonts w:ascii="Times New Roman" w:hAnsi="Times New Roman"/>
          <w:color w:val="FF6600"/>
          <w:sz w:val="24"/>
          <w:szCs w:val="24"/>
        </w:rPr>
        <w:t xml:space="preserve">sposobu ich przyjmowania </w:t>
      </w:r>
      <w:r>
        <w:rPr>
          <w:rFonts w:ascii="Times New Roman" w:hAnsi="Times New Roman"/>
          <w:sz w:val="24"/>
          <w:szCs w:val="24"/>
        </w:rPr>
        <w:t>w sali obsługi interesantów w Wydziale Konsularnym oraz na stronie internetowej placówki. Placówka prawidłowo stosuje przyjęte procedury. Odpowiedzi na skargi były udzielane z zachowaniem procedur przewidzianych prawem.</w:t>
      </w:r>
    </w:p>
    <w:p w:rsidR="00F0424C" w:rsidRPr="00CB4D79" w:rsidRDefault="00F0424C" w:rsidP="000A58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spraw organizacyjnych zespół kontrolny odnotował rozbieżności w stanowiskach funkcjonujących faktycznie w pl</w:t>
      </w:r>
      <w:r w:rsidRPr="006F6035">
        <w:rPr>
          <w:rFonts w:ascii="Times New Roman" w:hAnsi="Times New Roman"/>
          <w:color w:val="FF6600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cówce a wynikających z regulaminu organizacyjnego placówki. Ponadto zakresy obowiązków w kilku przypadkach zawierały lakoniczne określenie czynności pracownika nie pokrywające się z faktycznie wykonywanymi przez niego czynnościami. </w:t>
      </w:r>
    </w:p>
    <w:sectPr w:rsidR="00F0424C" w:rsidRPr="00CB4D79" w:rsidSect="0033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38C"/>
    <w:rsid w:val="00007059"/>
    <w:rsid w:val="00037FCF"/>
    <w:rsid w:val="00040BCA"/>
    <w:rsid w:val="000A338C"/>
    <w:rsid w:val="000A5858"/>
    <w:rsid w:val="000D11D7"/>
    <w:rsid w:val="001036A9"/>
    <w:rsid w:val="00107863"/>
    <w:rsid w:val="00133B2B"/>
    <w:rsid w:val="001364A2"/>
    <w:rsid w:val="001A284A"/>
    <w:rsid w:val="001D3CF2"/>
    <w:rsid w:val="00217805"/>
    <w:rsid w:val="00232DBD"/>
    <w:rsid w:val="00234155"/>
    <w:rsid w:val="00255FB8"/>
    <w:rsid w:val="00264846"/>
    <w:rsid w:val="002711ED"/>
    <w:rsid w:val="00295A4D"/>
    <w:rsid w:val="002C25DA"/>
    <w:rsid w:val="002C4C48"/>
    <w:rsid w:val="0030485F"/>
    <w:rsid w:val="003335ED"/>
    <w:rsid w:val="00337198"/>
    <w:rsid w:val="00346371"/>
    <w:rsid w:val="0038424E"/>
    <w:rsid w:val="00385A87"/>
    <w:rsid w:val="003A5CC7"/>
    <w:rsid w:val="003B1512"/>
    <w:rsid w:val="003D1970"/>
    <w:rsid w:val="003E308C"/>
    <w:rsid w:val="003F4096"/>
    <w:rsid w:val="00424E1D"/>
    <w:rsid w:val="00485C3B"/>
    <w:rsid w:val="004B7682"/>
    <w:rsid w:val="004C5C9B"/>
    <w:rsid w:val="00554F9A"/>
    <w:rsid w:val="0058026D"/>
    <w:rsid w:val="00585D4D"/>
    <w:rsid w:val="005D3961"/>
    <w:rsid w:val="005D464F"/>
    <w:rsid w:val="005E0B4C"/>
    <w:rsid w:val="005F3EFF"/>
    <w:rsid w:val="00602AC8"/>
    <w:rsid w:val="00627645"/>
    <w:rsid w:val="0063297B"/>
    <w:rsid w:val="00661830"/>
    <w:rsid w:val="00682C99"/>
    <w:rsid w:val="00687B1F"/>
    <w:rsid w:val="006A5791"/>
    <w:rsid w:val="006E5A69"/>
    <w:rsid w:val="006F6035"/>
    <w:rsid w:val="006F7501"/>
    <w:rsid w:val="00701A38"/>
    <w:rsid w:val="00715C3B"/>
    <w:rsid w:val="00716E0D"/>
    <w:rsid w:val="007425FB"/>
    <w:rsid w:val="00787717"/>
    <w:rsid w:val="007A260A"/>
    <w:rsid w:val="007D4333"/>
    <w:rsid w:val="007D4343"/>
    <w:rsid w:val="007D4592"/>
    <w:rsid w:val="00807931"/>
    <w:rsid w:val="0085552E"/>
    <w:rsid w:val="00860DF7"/>
    <w:rsid w:val="008807B8"/>
    <w:rsid w:val="008B617F"/>
    <w:rsid w:val="00910E84"/>
    <w:rsid w:val="00914A22"/>
    <w:rsid w:val="00926B7E"/>
    <w:rsid w:val="00931555"/>
    <w:rsid w:val="00963AE8"/>
    <w:rsid w:val="0097748A"/>
    <w:rsid w:val="009C5B20"/>
    <w:rsid w:val="009C7796"/>
    <w:rsid w:val="00A1613E"/>
    <w:rsid w:val="00A41A6E"/>
    <w:rsid w:val="00A47885"/>
    <w:rsid w:val="00A60389"/>
    <w:rsid w:val="00A61D38"/>
    <w:rsid w:val="00A740AE"/>
    <w:rsid w:val="00A940A6"/>
    <w:rsid w:val="00AA0790"/>
    <w:rsid w:val="00AA5C37"/>
    <w:rsid w:val="00AD56D0"/>
    <w:rsid w:val="00B20820"/>
    <w:rsid w:val="00B559AF"/>
    <w:rsid w:val="00B92E46"/>
    <w:rsid w:val="00BB0EA7"/>
    <w:rsid w:val="00BB6DD5"/>
    <w:rsid w:val="00BE57A0"/>
    <w:rsid w:val="00BF4733"/>
    <w:rsid w:val="00C03ADE"/>
    <w:rsid w:val="00C0412F"/>
    <w:rsid w:val="00C04FAF"/>
    <w:rsid w:val="00C449CA"/>
    <w:rsid w:val="00CB4D79"/>
    <w:rsid w:val="00D31823"/>
    <w:rsid w:val="00D431DD"/>
    <w:rsid w:val="00D60FB5"/>
    <w:rsid w:val="00D67597"/>
    <w:rsid w:val="00D728A1"/>
    <w:rsid w:val="00D811BC"/>
    <w:rsid w:val="00DD5120"/>
    <w:rsid w:val="00DD6E69"/>
    <w:rsid w:val="00DE3338"/>
    <w:rsid w:val="00DE5F9E"/>
    <w:rsid w:val="00E2730A"/>
    <w:rsid w:val="00E53681"/>
    <w:rsid w:val="00E83940"/>
    <w:rsid w:val="00EB3E7E"/>
    <w:rsid w:val="00EB7AB2"/>
    <w:rsid w:val="00F0424C"/>
    <w:rsid w:val="00F12898"/>
    <w:rsid w:val="00F31212"/>
    <w:rsid w:val="00F35618"/>
    <w:rsid w:val="00F65AF6"/>
    <w:rsid w:val="00F9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597</Words>
  <Characters>3583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</dc:title>
  <dc:subject/>
  <dc:creator>gorniakh</dc:creator>
  <cp:keywords/>
  <dc:description/>
  <cp:lastModifiedBy>kowalczukr</cp:lastModifiedBy>
  <cp:revision>2</cp:revision>
  <cp:lastPrinted>2011-06-07T12:27:00Z</cp:lastPrinted>
  <dcterms:created xsi:type="dcterms:W3CDTF">2011-06-20T09:45:00Z</dcterms:created>
  <dcterms:modified xsi:type="dcterms:W3CDTF">2011-06-20T09:45:00Z</dcterms:modified>
</cp:coreProperties>
</file>