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FF3" w:rsidRPr="00020FC6" w:rsidRDefault="001D0FF3" w:rsidP="00B256C0">
      <w:pPr>
        <w:jc w:val="center"/>
        <w:rPr>
          <w:b/>
          <w:sz w:val="28"/>
          <w:szCs w:val="28"/>
          <w:lang w:val="uk-UA"/>
        </w:rPr>
      </w:pPr>
      <w:r w:rsidRPr="00020FC6">
        <w:rPr>
          <w:b/>
          <w:sz w:val="28"/>
          <w:szCs w:val="28"/>
          <w:lang w:val="uk-UA"/>
        </w:rPr>
        <w:t>Кримське Агентство регіонального розвитку, створене за підтримки ЄС, офіційно відкрито</w:t>
      </w:r>
    </w:p>
    <w:p w:rsidR="001D0FF3" w:rsidRPr="00020FC6" w:rsidRDefault="001D0FF3" w:rsidP="00B256C0">
      <w:pPr>
        <w:jc w:val="both"/>
        <w:rPr>
          <w:lang w:val="uk-UA"/>
        </w:rPr>
      </w:pPr>
      <w:r w:rsidRPr="00020FC6">
        <w:rPr>
          <w:b/>
          <w:i/>
          <w:lang w:val="uk-UA"/>
        </w:rPr>
        <w:t xml:space="preserve">Сімферополь, 9 лютого 2011 р. </w:t>
      </w:r>
      <w:r w:rsidRPr="00020FC6">
        <w:rPr>
          <w:i/>
          <w:lang w:val="uk-UA"/>
        </w:rPr>
        <w:t>(для публікації після офіційного відкриття)</w:t>
      </w:r>
    </w:p>
    <w:p w:rsidR="001D0FF3" w:rsidRPr="00020FC6" w:rsidRDefault="001D0FF3" w:rsidP="00B256C0">
      <w:pPr>
        <w:jc w:val="both"/>
        <w:rPr>
          <w:lang w:val="uk-UA"/>
        </w:rPr>
      </w:pPr>
      <w:r w:rsidRPr="00020FC6">
        <w:rPr>
          <w:lang w:val="uk-UA"/>
        </w:rPr>
        <w:t xml:space="preserve">Василь Джарти, голова Ради міністрів АРК,  Жозе Мануель Пінту Тейшейра, посол Європейської </w:t>
      </w:r>
      <w:r w:rsidRPr="0095550E">
        <w:rPr>
          <w:highlight w:val="yellow"/>
          <w:lang w:val="uk-UA"/>
        </w:rPr>
        <w:t>комісії,</w:t>
      </w:r>
      <w:r w:rsidRPr="00020FC6">
        <w:rPr>
          <w:lang w:val="uk-UA"/>
        </w:rPr>
        <w:t xml:space="preserve"> та Олів'є Адам, Постійний представник ПРООН в Україні, дали офіційний старт розташованому в Сімферополі Агентству регіонального розвитку Автономної Республіки Крим (АРР). Вони перерізали стрічку на відзначення офіційного відкриття офісу Агентства, яке було створено Радою міністрів АРК в середині 2010 року</w:t>
      </w:r>
      <w:r>
        <w:rPr>
          <w:lang w:val="uk-UA"/>
        </w:rPr>
        <w:t xml:space="preserve">. До основних завдань Агентства входить </w:t>
      </w:r>
      <w:r w:rsidRPr="00020FC6">
        <w:rPr>
          <w:lang w:val="uk-UA"/>
        </w:rPr>
        <w:t>координаці</w:t>
      </w:r>
      <w:r>
        <w:rPr>
          <w:lang w:val="uk-UA"/>
        </w:rPr>
        <w:t>я</w:t>
      </w:r>
      <w:r w:rsidRPr="00020FC6">
        <w:rPr>
          <w:lang w:val="uk-UA"/>
        </w:rPr>
        <w:t xml:space="preserve"> роботи в області соціально-економічного розвитку і просування регіону на вітчизняному та міжнародному рівнях.</w:t>
      </w:r>
    </w:p>
    <w:p w:rsidR="001D0FF3" w:rsidRDefault="001D0FF3" w:rsidP="00B256C0">
      <w:pPr>
        <w:jc w:val="both"/>
        <w:rPr>
          <w:lang w:val="uk-UA"/>
        </w:rPr>
      </w:pPr>
      <w:r w:rsidRPr="00020FC6">
        <w:rPr>
          <w:i/>
          <w:lang w:val="uk-UA"/>
        </w:rPr>
        <w:t>«31 січня Рада міністрів офіційно надала Агентству функції координатора всієї діяльності із залучення інвестицій у Криму. Ми прагнемо розбудовувати наш регіон разом з національними й іноземними інвесторами. Кожен інвестор у Криму повинен почувати себе комфортно, а кожен підприємець повинен відчувати підтримку держави»</w:t>
      </w:r>
      <w:r w:rsidRPr="00020FC6">
        <w:rPr>
          <w:lang w:val="uk-UA"/>
        </w:rPr>
        <w:t xml:space="preserve">, - відзначив голова Ради міністрів АРК </w:t>
      </w:r>
      <w:r w:rsidRPr="00020FC6">
        <w:rPr>
          <w:b/>
          <w:lang w:val="uk-UA"/>
        </w:rPr>
        <w:t>Василь Джарти</w:t>
      </w:r>
      <w:r w:rsidRPr="00020FC6">
        <w:rPr>
          <w:lang w:val="uk-UA"/>
        </w:rPr>
        <w:t>.</w:t>
      </w:r>
    </w:p>
    <w:p w:rsidR="001D0FF3" w:rsidRDefault="001D0FF3" w:rsidP="00B256C0">
      <w:pPr>
        <w:jc w:val="both"/>
        <w:rPr>
          <w:lang w:val="uk-UA"/>
        </w:rPr>
      </w:pPr>
      <w:r>
        <w:rPr>
          <w:lang w:val="uk-UA"/>
        </w:rPr>
        <w:t>Агентство користується фінансовою та технічною підтримкою з боку Європейського Союзу та Програми розвитку Організації Об’єднаних Націй. Зокрема, Європейський Союз надав 1,5 млн. євро на створення і розбудову Агентства, у той час як ПРООН надає технічну допомогу на щоденній основі в рамках спільного проекту ЄС-ПРООН з підтримки АРР.</w:t>
      </w:r>
    </w:p>
    <w:p w:rsidR="001D0FF3" w:rsidRPr="00020FC6" w:rsidRDefault="001D0FF3" w:rsidP="00020FC6">
      <w:pPr>
        <w:jc w:val="both"/>
        <w:rPr>
          <w:i/>
          <w:lang w:val="uk-UA"/>
        </w:rPr>
      </w:pPr>
      <w:r w:rsidRPr="00020FC6">
        <w:rPr>
          <w:i/>
          <w:lang w:val="uk-UA"/>
        </w:rPr>
        <w:t>«Надаючи підтримку Кримському агентству, Європейський Союз вважає за обов’язок поділитися своїм досвідом та адаптувати його до потреб республіки, аби допомогти регіону подолати бар'єри й перешкоди, які сьогодні заважають його сталому розвитку та збалансованому економічному зростанню»</w:t>
      </w:r>
      <w:r w:rsidRPr="00020FC6">
        <w:rPr>
          <w:lang w:val="uk-UA"/>
        </w:rPr>
        <w:t xml:space="preserve">, - відзначив </w:t>
      </w:r>
      <w:r w:rsidRPr="00020FC6">
        <w:rPr>
          <w:b/>
          <w:lang w:val="uk-UA"/>
        </w:rPr>
        <w:t>Жозе Мануель Пінту Тейшейра</w:t>
      </w:r>
      <w:r w:rsidRPr="00020FC6">
        <w:rPr>
          <w:lang w:val="uk-UA"/>
        </w:rPr>
        <w:t>,</w:t>
      </w:r>
      <w:r w:rsidRPr="00020FC6">
        <w:rPr>
          <w:i/>
          <w:lang w:val="uk-UA"/>
        </w:rPr>
        <w:t xml:space="preserve"> </w:t>
      </w:r>
      <w:r w:rsidRPr="00020FC6">
        <w:rPr>
          <w:lang w:val="uk-UA"/>
        </w:rPr>
        <w:t xml:space="preserve">Посол Європейської </w:t>
      </w:r>
      <w:r w:rsidRPr="0095550E">
        <w:rPr>
          <w:highlight w:val="yellow"/>
          <w:lang w:val="uk-UA"/>
        </w:rPr>
        <w:t>комісії</w:t>
      </w:r>
      <w:bookmarkStart w:id="0" w:name="_GoBack"/>
      <w:bookmarkEnd w:id="0"/>
      <w:r w:rsidRPr="00020FC6">
        <w:rPr>
          <w:i/>
          <w:lang w:val="uk-UA"/>
        </w:rPr>
        <w:t xml:space="preserve">. </w:t>
      </w:r>
    </w:p>
    <w:p w:rsidR="001D0FF3" w:rsidRPr="00020FC6" w:rsidRDefault="001D0FF3" w:rsidP="00B256C0">
      <w:pPr>
        <w:jc w:val="both"/>
        <w:rPr>
          <w:i/>
          <w:lang w:val="uk-UA"/>
        </w:rPr>
      </w:pPr>
      <w:r w:rsidRPr="00020FC6">
        <w:rPr>
          <w:b/>
          <w:lang w:val="uk-UA"/>
        </w:rPr>
        <w:t>Олів'є Адам</w:t>
      </w:r>
      <w:r>
        <w:rPr>
          <w:lang w:val="uk-UA"/>
        </w:rPr>
        <w:t xml:space="preserve">, Постійний представник ПРООН в Україні, </w:t>
      </w:r>
      <w:r w:rsidRPr="00020FC6">
        <w:rPr>
          <w:lang w:val="uk-UA"/>
        </w:rPr>
        <w:t xml:space="preserve">підкреслив, що </w:t>
      </w:r>
      <w:r w:rsidRPr="00020FC6">
        <w:rPr>
          <w:i/>
          <w:lang w:val="uk-UA"/>
        </w:rPr>
        <w:t>«підтримка Агентства регіонального розвитку Криму з боку ЄС і ПРООН надає цій організації унікальну можливість, підіймаючи її негайний престиж і видимість».</w:t>
      </w:r>
    </w:p>
    <w:p w:rsidR="001D0FF3" w:rsidRPr="00020FC6" w:rsidRDefault="001D0FF3" w:rsidP="00B256C0">
      <w:pPr>
        <w:jc w:val="both"/>
        <w:rPr>
          <w:lang w:val="uk-UA"/>
        </w:rPr>
      </w:pPr>
      <w:r w:rsidRPr="00020FC6">
        <w:rPr>
          <w:lang w:val="uk-UA"/>
        </w:rPr>
        <w:t xml:space="preserve">Церемонія відкриття була продовжена коротким оглядом приміщень АРР у супроводі директора Агентства </w:t>
      </w:r>
      <w:r w:rsidRPr="00F51E48">
        <w:rPr>
          <w:b/>
          <w:lang w:val="uk-UA"/>
        </w:rPr>
        <w:t>Олексія Стародубова</w:t>
      </w:r>
      <w:r w:rsidRPr="00020FC6">
        <w:rPr>
          <w:lang w:val="uk-UA"/>
        </w:rPr>
        <w:t xml:space="preserve">, а також підписанням Василем Джарти та Олів’є Адамом спільної Заяви про наміри між Радою міністрів АРК та ПРООН щодо успішного втілення </w:t>
      </w:r>
      <w:r>
        <w:rPr>
          <w:lang w:val="uk-UA"/>
        </w:rPr>
        <w:t>спільного п</w:t>
      </w:r>
      <w:r w:rsidRPr="00020FC6">
        <w:rPr>
          <w:lang w:val="uk-UA"/>
        </w:rPr>
        <w:t>роекту ЄС-ПРООН з підтримки АРР.</w:t>
      </w:r>
    </w:p>
    <w:p w:rsidR="001D0FF3" w:rsidRPr="00F51E48" w:rsidRDefault="001D0FF3" w:rsidP="00B256C0">
      <w:pPr>
        <w:jc w:val="both"/>
        <w:rPr>
          <w:lang w:val="uk-UA"/>
        </w:rPr>
      </w:pPr>
      <w:r w:rsidRPr="00F51E48">
        <w:rPr>
          <w:lang w:val="uk-UA"/>
        </w:rPr>
        <w:t xml:space="preserve">Підчас церемонії Олів’є Адам висловив свою переконаність в тому, що високий професіоналізм і відданість принципам ділової етики співробітників Агентства, підтримані міжнародними та національними експертами, дозволять Раді міністрів успішно реалізувати амбітні плани регіонального розвитку та залучення інвестицій. Він додав, що інвестори та донори безсумнівно очікуватимуть прозорості діяльності Агентства та </w:t>
      </w:r>
      <w:r>
        <w:rPr>
          <w:lang w:val="uk-UA"/>
        </w:rPr>
        <w:t xml:space="preserve">її </w:t>
      </w:r>
      <w:r w:rsidRPr="00F51E48">
        <w:rPr>
          <w:lang w:val="uk-UA"/>
        </w:rPr>
        <w:t>результатів, які відповідатимуть кращим міжнародним стандартам.</w:t>
      </w:r>
    </w:p>
    <w:p w:rsidR="001D0FF3" w:rsidRDefault="001D0FF3" w:rsidP="00B256C0">
      <w:pPr>
        <w:jc w:val="both"/>
        <w:rPr>
          <w:i/>
          <w:lang w:val="uk-UA"/>
        </w:rPr>
      </w:pPr>
      <w:r w:rsidRPr="00020FC6">
        <w:rPr>
          <w:i/>
          <w:lang w:val="uk-UA"/>
        </w:rPr>
        <w:t>«</w:t>
      </w:r>
      <w:r>
        <w:rPr>
          <w:i/>
          <w:lang w:val="uk-UA"/>
        </w:rPr>
        <w:t xml:space="preserve">Відкритість та здатність створювати сталі партнерські відносини будуть </w:t>
      </w:r>
      <w:r w:rsidRPr="00020FC6">
        <w:rPr>
          <w:i/>
          <w:lang w:val="uk-UA"/>
        </w:rPr>
        <w:t>провідним</w:t>
      </w:r>
      <w:r>
        <w:rPr>
          <w:i/>
          <w:lang w:val="uk-UA"/>
        </w:rPr>
        <w:t xml:space="preserve">и факторами успіху цієї </w:t>
      </w:r>
      <w:r w:rsidRPr="00020FC6">
        <w:rPr>
          <w:i/>
          <w:lang w:val="uk-UA"/>
        </w:rPr>
        <w:t>унікальн</w:t>
      </w:r>
      <w:r>
        <w:rPr>
          <w:i/>
          <w:lang w:val="uk-UA"/>
        </w:rPr>
        <w:t xml:space="preserve">ої </w:t>
      </w:r>
      <w:r w:rsidRPr="00020FC6">
        <w:rPr>
          <w:i/>
          <w:lang w:val="uk-UA"/>
        </w:rPr>
        <w:t>модел</w:t>
      </w:r>
      <w:r>
        <w:rPr>
          <w:i/>
          <w:lang w:val="uk-UA"/>
        </w:rPr>
        <w:t>і</w:t>
      </w:r>
      <w:r w:rsidRPr="00020FC6">
        <w:rPr>
          <w:i/>
          <w:lang w:val="uk-UA"/>
        </w:rPr>
        <w:t xml:space="preserve"> регіонального розвитку, яка згодом може бути запроваджена в інших регіонах України», - </w:t>
      </w:r>
      <w:r>
        <w:rPr>
          <w:lang w:val="uk-UA"/>
        </w:rPr>
        <w:t>затвердив</w:t>
      </w:r>
      <w:r w:rsidRPr="00020FC6">
        <w:rPr>
          <w:i/>
          <w:lang w:val="uk-UA"/>
        </w:rPr>
        <w:t xml:space="preserve"> </w:t>
      </w:r>
      <w:r w:rsidRPr="00F51E48">
        <w:rPr>
          <w:lang w:val="uk-UA"/>
        </w:rPr>
        <w:t>Жозе Мануель Пінту Тейшейра з цього приводу</w:t>
      </w:r>
      <w:r w:rsidRPr="00020FC6">
        <w:rPr>
          <w:b/>
          <w:lang w:val="uk-UA"/>
        </w:rPr>
        <w:t>.</w:t>
      </w:r>
    </w:p>
    <w:p w:rsidR="001D0FF3" w:rsidRPr="00020FC6" w:rsidRDefault="001D0FF3" w:rsidP="00B256C0">
      <w:pPr>
        <w:jc w:val="both"/>
        <w:rPr>
          <w:lang w:val="uk-UA"/>
        </w:rPr>
      </w:pPr>
      <w:r w:rsidRPr="00020FC6">
        <w:rPr>
          <w:lang w:val="uk-UA"/>
        </w:rPr>
        <w:t>11 лютого Агентство регіонального розвитку стане одним з ключових учасників конференції «Регіональний розвиток Криму: планування, взаємодія та співробітництво», організованої Проектом ЕС-ПРООН з підтримки Кримської АРР.</w:t>
      </w:r>
    </w:p>
    <w:p w:rsidR="001D0FF3" w:rsidRPr="00020FC6" w:rsidRDefault="001D0FF3" w:rsidP="00B256C0">
      <w:pPr>
        <w:jc w:val="center"/>
        <w:rPr>
          <w:lang w:val="uk-UA"/>
        </w:rPr>
      </w:pPr>
      <w:r w:rsidRPr="00020FC6">
        <w:rPr>
          <w:lang w:val="uk-UA"/>
        </w:rPr>
        <w:t>***</w:t>
      </w:r>
    </w:p>
    <w:p w:rsidR="001D0FF3" w:rsidRPr="00020FC6" w:rsidRDefault="001D0FF3" w:rsidP="00FE7D61">
      <w:pPr>
        <w:jc w:val="center"/>
        <w:rPr>
          <w:lang w:val="uk-UA"/>
        </w:rPr>
      </w:pPr>
      <w:r w:rsidRPr="00020FC6">
        <w:rPr>
          <w:lang w:val="uk-UA"/>
        </w:rPr>
        <w:t>Для одержання додаткової інформації звертайтеся до Вячеслава Топорова, керівника інформаційного відділу Представництва ПРООН у Криму, за тел.: +38 06622 77220 або ел. поштою toporov [a] undp.crimea.ua</w:t>
      </w:r>
    </w:p>
    <w:sectPr w:rsidR="001D0FF3" w:rsidRPr="00020FC6" w:rsidSect="00650D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7039"/>
    <w:rsid w:val="000171A9"/>
    <w:rsid w:val="0002029F"/>
    <w:rsid w:val="00020FC6"/>
    <w:rsid w:val="0002585D"/>
    <w:rsid w:val="0003368B"/>
    <w:rsid w:val="000345E0"/>
    <w:rsid w:val="000613F9"/>
    <w:rsid w:val="0006387C"/>
    <w:rsid w:val="0008243B"/>
    <w:rsid w:val="000B3715"/>
    <w:rsid w:val="000E581C"/>
    <w:rsid w:val="001367F1"/>
    <w:rsid w:val="00151902"/>
    <w:rsid w:val="001A36A6"/>
    <w:rsid w:val="001A49AA"/>
    <w:rsid w:val="001D0FF3"/>
    <w:rsid w:val="001D4A3F"/>
    <w:rsid w:val="001F1173"/>
    <w:rsid w:val="001F5D04"/>
    <w:rsid w:val="00232C7C"/>
    <w:rsid w:val="0023380E"/>
    <w:rsid w:val="00240E6D"/>
    <w:rsid w:val="0024234F"/>
    <w:rsid w:val="002508A3"/>
    <w:rsid w:val="0026074B"/>
    <w:rsid w:val="00266CFB"/>
    <w:rsid w:val="00282215"/>
    <w:rsid w:val="00297A53"/>
    <w:rsid w:val="002A4F92"/>
    <w:rsid w:val="002D0ECF"/>
    <w:rsid w:val="002D280E"/>
    <w:rsid w:val="003024C3"/>
    <w:rsid w:val="00303FED"/>
    <w:rsid w:val="00304F7C"/>
    <w:rsid w:val="00326D28"/>
    <w:rsid w:val="00342C62"/>
    <w:rsid w:val="0035672D"/>
    <w:rsid w:val="00362E97"/>
    <w:rsid w:val="00363042"/>
    <w:rsid w:val="00376648"/>
    <w:rsid w:val="003A712A"/>
    <w:rsid w:val="003C346B"/>
    <w:rsid w:val="003F0C01"/>
    <w:rsid w:val="00415A32"/>
    <w:rsid w:val="0042478E"/>
    <w:rsid w:val="00424C4B"/>
    <w:rsid w:val="00432461"/>
    <w:rsid w:val="00442CE5"/>
    <w:rsid w:val="00481F6A"/>
    <w:rsid w:val="004A3C78"/>
    <w:rsid w:val="004B563F"/>
    <w:rsid w:val="004E2DEF"/>
    <w:rsid w:val="004F0058"/>
    <w:rsid w:val="00502CB8"/>
    <w:rsid w:val="00514832"/>
    <w:rsid w:val="00522DD8"/>
    <w:rsid w:val="00565F03"/>
    <w:rsid w:val="00585BF0"/>
    <w:rsid w:val="005A22C4"/>
    <w:rsid w:val="005B4846"/>
    <w:rsid w:val="005C54AA"/>
    <w:rsid w:val="005E4B4C"/>
    <w:rsid w:val="006012B9"/>
    <w:rsid w:val="006116FF"/>
    <w:rsid w:val="00620103"/>
    <w:rsid w:val="00635E2D"/>
    <w:rsid w:val="00650D3E"/>
    <w:rsid w:val="0066000A"/>
    <w:rsid w:val="006842BA"/>
    <w:rsid w:val="006C0F5E"/>
    <w:rsid w:val="006C3148"/>
    <w:rsid w:val="006D75A0"/>
    <w:rsid w:val="006F44A5"/>
    <w:rsid w:val="00707DDF"/>
    <w:rsid w:val="007417B6"/>
    <w:rsid w:val="00753025"/>
    <w:rsid w:val="007869AE"/>
    <w:rsid w:val="007C1C2D"/>
    <w:rsid w:val="007F4183"/>
    <w:rsid w:val="008026D6"/>
    <w:rsid w:val="008365DB"/>
    <w:rsid w:val="00841F81"/>
    <w:rsid w:val="00860726"/>
    <w:rsid w:val="00862137"/>
    <w:rsid w:val="008629F2"/>
    <w:rsid w:val="00864B0F"/>
    <w:rsid w:val="0089752B"/>
    <w:rsid w:val="008A4AA4"/>
    <w:rsid w:val="008B6B65"/>
    <w:rsid w:val="008F33B9"/>
    <w:rsid w:val="00901CDB"/>
    <w:rsid w:val="00943092"/>
    <w:rsid w:val="00944FC0"/>
    <w:rsid w:val="0095550E"/>
    <w:rsid w:val="009621B9"/>
    <w:rsid w:val="00967A7A"/>
    <w:rsid w:val="009739F8"/>
    <w:rsid w:val="009748D7"/>
    <w:rsid w:val="00991E64"/>
    <w:rsid w:val="009B2463"/>
    <w:rsid w:val="009B24E0"/>
    <w:rsid w:val="009B7DB5"/>
    <w:rsid w:val="009F5FFF"/>
    <w:rsid w:val="00A14DC6"/>
    <w:rsid w:val="00A657EF"/>
    <w:rsid w:val="00A81032"/>
    <w:rsid w:val="00AC1CDB"/>
    <w:rsid w:val="00B04E84"/>
    <w:rsid w:val="00B1485E"/>
    <w:rsid w:val="00B20B3B"/>
    <w:rsid w:val="00B256C0"/>
    <w:rsid w:val="00B55DC0"/>
    <w:rsid w:val="00BB7386"/>
    <w:rsid w:val="00BF049F"/>
    <w:rsid w:val="00C1660D"/>
    <w:rsid w:val="00C400FD"/>
    <w:rsid w:val="00C565E9"/>
    <w:rsid w:val="00C73EF4"/>
    <w:rsid w:val="00C753CC"/>
    <w:rsid w:val="00C75F89"/>
    <w:rsid w:val="00C91C23"/>
    <w:rsid w:val="00C97CFE"/>
    <w:rsid w:val="00CC236C"/>
    <w:rsid w:val="00CD42D4"/>
    <w:rsid w:val="00CE6362"/>
    <w:rsid w:val="00D3535C"/>
    <w:rsid w:val="00D37039"/>
    <w:rsid w:val="00D54665"/>
    <w:rsid w:val="00D807D9"/>
    <w:rsid w:val="00D82EC2"/>
    <w:rsid w:val="00DA06E8"/>
    <w:rsid w:val="00DA0EB8"/>
    <w:rsid w:val="00DA11BB"/>
    <w:rsid w:val="00DA276E"/>
    <w:rsid w:val="00DB4205"/>
    <w:rsid w:val="00E077D4"/>
    <w:rsid w:val="00E12A58"/>
    <w:rsid w:val="00E179CE"/>
    <w:rsid w:val="00E216BC"/>
    <w:rsid w:val="00E4106C"/>
    <w:rsid w:val="00E51D6B"/>
    <w:rsid w:val="00EA5E24"/>
    <w:rsid w:val="00F06B2F"/>
    <w:rsid w:val="00F40417"/>
    <w:rsid w:val="00F443C2"/>
    <w:rsid w:val="00F44E77"/>
    <w:rsid w:val="00F51E48"/>
    <w:rsid w:val="00F57237"/>
    <w:rsid w:val="00FA7549"/>
    <w:rsid w:val="00FB787A"/>
    <w:rsid w:val="00FD1E9B"/>
    <w:rsid w:val="00FE7D61"/>
    <w:rsid w:val="00FF2A73"/>
    <w:rsid w:val="00FF3EEE"/>
    <w:rsid w:val="00FF58CD"/>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F5E"/>
    <w:pPr>
      <w:spacing w:after="200" w:line="276" w:lineRule="auto"/>
    </w:pPr>
    <w:rPr>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258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585D"/>
    <w:rPr>
      <w:rFonts w:ascii="Tahoma" w:hAnsi="Tahoma" w:cs="Tahoma"/>
      <w:sz w:val="16"/>
      <w:szCs w:val="16"/>
    </w:rPr>
  </w:style>
  <w:style w:type="character" w:styleId="Hyperlink">
    <w:name w:val="Hyperlink"/>
    <w:basedOn w:val="DefaultParagraphFont"/>
    <w:uiPriority w:val="99"/>
    <w:rsid w:val="00B256C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228686851">
      <w:marLeft w:val="0"/>
      <w:marRight w:val="0"/>
      <w:marTop w:val="0"/>
      <w:marBottom w:val="0"/>
      <w:divBdr>
        <w:top w:val="none" w:sz="0" w:space="0" w:color="auto"/>
        <w:left w:val="none" w:sz="0" w:space="0" w:color="auto"/>
        <w:bottom w:val="none" w:sz="0" w:space="0" w:color="auto"/>
        <w:right w:val="none" w:sz="0" w:space="0" w:color="auto"/>
      </w:divBdr>
      <w:divsChild>
        <w:div w:id="1228686848">
          <w:marLeft w:val="150"/>
          <w:marRight w:val="150"/>
          <w:marTop w:val="0"/>
          <w:marBottom w:val="0"/>
          <w:divBdr>
            <w:top w:val="none" w:sz="0" w:space="0" w:color="auto"/>
            <w:left w:val="none" w:sz="0" w:space="0" w:color="auto"/>
            <w:bottom w:val="none" w:sz="0" w:space="0" w:color="auto"/>
            <w:right w:val="none" w:sz="0" w:space="0" w:color="auto"/>
          </w:divBdr>
          <w:divsChild>
            <w:div w:id="1228686854">
              <w:marLeft w:val="0"/>
              <w:marRight w:val="0"/>
              <w:marTop w:val="0"/>
              <w:marBottom w:val="0"/>
              <w:divBdr>
                <w:top w:val="none" w:sz="0" w:space="0" w:color="auto"/>
                <w:left w:val="none" w:sz="0" w:space="0" w:color="auto"/>
                <w:bottom w:val="none" w:sz="0" w:space="0" w:color="auto"/>
                <w:right w:val="none" w:sz="0" w:space="0" w:color="auto"/>
              </w:divBdr>
              <w:divsChild>
                <w:div w:id="1228686849">
                  <w:marLeft w:val="0"/>
                  <w:marRight w:val="0"/>
                  <w:marTop w:val="0"/>
                  <w:marBottom w:val="0"/>
                  <w:divBdr>
                    <w:top w:val="none" w:sz="0" w:space="0" w:color="auto"/>
                    <w:left w:val="none" w:sz="0" w:space="0" w:color="auto"/>
                    <w:bottom w:val="none" w:sz="0" w:space="0" w:color="auto"/>
                    <w:right w:val="none" w:sz="0" w:space="0" w:color="auto"/>
                  </w:divBdr>
                  <w:divsChild>
                    <w:div w:id="122868685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686853">
      <w:marLeft w:val="0"/>
      <w:marRight w:val="0"/>
      <w:marTop w:val="0"/>
      <w:marBottom w:val="0"/>
      <w:divBdr>
        <w:top w:val="none" w:sz="0" w:space="0" w:color="auto"/>
        <w:left w:val="none" w:sz="0" w:space="0" w:color="auto"/>
        <w:bottom w:val="none" w:sz="0" w:space="0" w:color="auto"/>
        <w:right w:val="none" w:sz="0" w:space="0" w:color="auto"/>
      </w:divBdr>
      <w:divsChild>
        <w:div w:id="1228686855">
          <w:marLeft w:val="150"/>
          <w:marRight w:val="150"/>
          <w:marTop w:val="0"/>
          <w:marBottom w:val="0"/>
          <w:divBdr>
            <w:top w:val="none" w:sz="0" w:space="0" w:color="auto"/>
            <w:left w:val="none" w:sz="0" w:space="0" w:color="auto"/>
            <w:bottom w:val="none" w:sz="0" w:space="0" w:color="auto"/>
            <w:right w:val="none" w:sz="0" w:space="0" w:color="auto"/>
          </w:divBdr>
          <w:divsChild>
            <w:div w:id="1228686857">
              <w:marLeft w:val="0"/>
              <w:marRight w:val="0"/>
              <w:marTop w:val="0"/>
              <w:marBottom w:val="0"/>
              <w:divBdr>
                <w:top w:val="none" w:sz="0" w:space="0" w:color="auto"/>
                <w:left w:val="none" w:sz="0" w:space="0" w:color="auto"/>
                <w:bottom w:val="none" w:sz="0" w:space="0" w:color="auto"/>
                <w:right w:val="none" w:sz="0" w:space="0" w:color="auto"/>
              </w:divBdr>
              <w:divsChild>
                <w:div w:id="1228686852">
                  <w:marLeft w:val="0"/>
                  <w:marRight w:val="0"/>
                  <w:marTop w:val="0"/>
                  <w:marBottom w:val="0"/>
                  <w:divBdr>
                    <w:top w:val="none" w:sz="0" w:space="0" w:color="auto"/>
                    <w:left w:val="none" w:sz="0" w:space="0" w:color="auto"/>
                    <w:bottom w:val="none" w:sz="0" w:space="0" w:color="auto"/>
                    <w:right w:val="none" w:sz="0" w:space="0" w:color="auto"/>
                  </w:divBdr>
                  <w:divsChild>
                    <w:div w:id="122868685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497</Words>
  <Characters>2985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Кримське Агентство регіонального розвитку, створене за підтримки ЄС, офіційно відкрито</dc:title>
  <dc:subject/>
  <dc:creator>Vyacheslav</dc:creator>
  <cp:keywords/>
  <dc:description/>
  <cp:lastModifiedBy>kowalczukr</cp:lastModifiedBy>
  <cp:revision>2</cp:revision>
  <dcterms:created xsi:type="dcterms:W3CDTF">2011-02-11T13:54:00Z</dcterms:created>
  <dcterms:modified xsi:type="dcterms:W3CDTF">2011-02-11T13:54:00Z</dcterms:modified>
</cp:coreProperties>
</file>